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D2C0" w14:textId="51ABFFA4" w:rsidR="00513F69" w:rsidRDefault="00513F69"/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1886"/>
        <w:gridCol w:w="7712"/>
        <w:gridCol w:w="1851"/>
        <w:gridCol w:w="746"/>
        <w:gridCol w:w="1451"/>
        <w:gridCol w:w="1315"/>
      </w:tblGrid>
      <w:tr w:rsidR="00D91504" w:rsidRPr="00D91504" w14:paraId="6DEEB1B6" w14:textId="77777777" w:rsidTr="00D91504">
        <w:trPr>
          <w:jc w:val="center"/>
        </w:trPr>
        <w:tc>
          <w:tcPr>
            <w:tcW w:w="427" w:type="dxa"/>
          </w:tcPr>
          <w:p w14:paraId="772C1794" w14:textId="6037D0EB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836" w:type="dxa"/>
          </w:tcPr>
          <w:p w14:paraId="71918392" w14:textId="58569EE3" w:rsidR="00D91504" w:rsidRPr="00D91504" w:rsidRDefault="00D91504" w:rsidP="00D91504">
            <w:pPr>
              <w:rPr>
                <w:rFonts w:ascii="Times New Roman" w:hAnsi="Times New Roman" w:cs="Times New Roman"/>
                <w:color w:val="000000"/>
              </w:rPr>
            </w:pPr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769" w:type="dxa"/>
          </w:tcPr>
          <w:p w14:paraId="76716D26" w14:textId="0E1A4A4D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>Техническое задание</w:t>
            </w:r>
          </w:p>
        </w:tc>
        <w:tc>
          <w:tcPr>
            <w:tcW w:w="1832" w:type="dxa"/>
          </w:tcPr>
          <w:p w14:paraId="78754768" w14:textId="21A12BAA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>Ед.изм</w:t>
            </w:r>
            <w:proofErr w:type="spellEnd"/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47" w:type="dxa"/>
          </w:tcPr>
          <w:p w14:paraId="464163AE" w14:textId="3F14DB5F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457" w:type="dxa"/>
          </w:tcPr>
          <w:p w14:paraId="5599F0A3" w14:textId="28FFCA99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</w:p>
        </w:tc>
        <w:tc>
          <w:tcPr>
            <w:tcW w:w="1320" w:type="dxa"/>
          </w:tcPr>
          <w:p w14:paraId="0DB182AC" w14:textId="780C0694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D91504" w:rsidRPr="00D91504" w14:paraId="19365310" w14:textId="3AD17959" w:rsidTr="00D91504">
        <w:trPr>
          <w:jc w:val="center"/>
        </w:trPr>
        <w:tc>
          <w:tcPr>
            <w:tcW w:w="427" w:type="dxa"/>
          </w:tcPr>
          <w:p w14:paraId="37BC4736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6" w:type="dxa"/>
          </w:tcPr>
          <w:p w14:paraId="4D04C55F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Карты для типирования по системе АВО/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D+Reverse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Grouping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 кат №001236</w:t>
            </w:r>
          </w:p>
        </w:tc>
        <w:tc>
          <w:tcPr>
            <w:tcW w:w="7769" w:type="dxa"/>
            <w:vAlign w:val="center"/>
          </w:tcPr>
          <w:p w14:paraId="4B14B6C9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 xml:space="preserve">ID-Card ˝ID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DiaClon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ABO/D +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Reverse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Grouping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monoclonal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antibodies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>)˝ содержит моноклональные анти-A [клеточная линия A5], анти-B [клеточная</w:t>
            </w:r>
            <w:r w:rsidRPr="00D91504">
              <w:rPr>
                <w:rFonts w:ascii="Times New Roman" w:hAnsi="Times New Roman" w:cs="Times New Roman"/>
                <w:color w:val="000000"/>
              </w:rPr>
              <w:br/>
              <w:t xml:space="preserve">линия G½] и анти-D [клеточные линии LHM 59 / 20 (LDM3) + 175-2] в гелевом матриксе.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Микропробирка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ctl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является отрицательным контролем.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Две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микропробирки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с ˝нейтральным˝ гелем для определения группы крови обратной реакцией с 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1 и 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B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стандартными эритроцитами. Консервант: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&lt; 0,1%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NaN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  <w:p w14:paraId="74B51EB9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lang w:val="ru-RU"/>
              </w:rPr>
              <w:t>Определение группы крови прямым и обратным методом/резус фактор. 1 карта – 1 исследование. В 1 наборе 720 карт.</w:t>
            </w:r>
          </w:p>
        </w:tc>
        <w:tc>
          <w:tcPr>
            <w:tcW w:w="1832" w:type="dxa"/>
          </w:tcPr>
          <w:p w14:paraId="63689A03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t>уп</w:t>
            </w:r>
            <w:proofErr w:type="spellEnd"/>
            <w:r w:rsidRPr="00D91504">
              <w:rPr>
                <w:rFonts w:ascii="Times New Roman" w:hAnsi="Times New Roman" w:cs="Times New Roman"/>
              </w:rPr>
              <w:t xml:space="preserve">/720 </w:t>
            </w:r>
            <w:proofErr w:type="spellStart"/>
            <w:r w:rsidRPr="00D91504">
              <w:rPr>
                <w:rFonts w:ascii="Times New Roman" w:hAnsi="Times New Roman" w:cs="Times New Roman"/>
              </w:rPr>
              <w:t>шт</w:t>
            </w:r>
            <w:proofErr w:type="spellEnd"/>
            <w:r w:rsidRPr="00D91504">
              <w:rPr>
                <w:rFonts w:ascii="Times New Roman" w:hAnsi="Times New Roman" w:cs="Times New Roman"/>
              </w:rPr>
              <w:t>, 60х12</w:t>
            </w:r>
          </w:p>
        </w:tc>
        <w:tc>
          <w:tcPr>
            <w:tcW w:w="747" w:type="dxa"/>
          </w:tcPr>
          <w:p w14:paraId="3EE95A34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7" w:type="dxa"/>
          </w:tcPr>
          <w:p w14:paraId="24A41693" w14:textId="00173D43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843 700,00</w:t>
            </w:r>
          </w:p>
        </w:tc>
        <w:tc>
          <w:tcPr>
            <w:tcW w:w="1320" w:type="dxa"/>
          </w:tcPr>
          <w:p w14:paraId="11292E8A" w14:textId="0EFE5A8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3 374 800,00</w:t>
            </w:r>
          </w:p>
        </w:tc>
      </w:tr>
      <w:tr w:rsidR="00D91504" w:rsidRPr="00D91504" w14:paraId="389251EC" w14:textId="73EB2A7D" w:rsidTr="00D91504">
        <w:trPr>
          <w:jc w:val="center"/>
        </w:trPr>
        <w:tc>
          <w:tcPr>
            <w:tcW w:w="427" w:type="dxa"/>
          </w:tcPr>
          <w:p w14:paraId="541D3BF1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6" w:type="dxa"/>
          </w:tcPr>
          <w:p w14:paraId="0091700F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Карты для идентификации антител LISS/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Coombs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 кат №004016</w:t>
            </w:r>
          </w:p>
        </w:tc>
        <w:tc>
          <w:tcPr>
            <w:tcW w:w="7769" w:type="dxa"/>
            <w:vAlign w:val="center"/>
          </w:tcPr>
          <w:p w14:paraId="6684AB51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ID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Card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˝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ID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LISS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/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Coombs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˝ с 6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микропробирками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, содержащими</w:t>
            </w:r>
          </w:p>
          <w:p w14:paraId="0AAD214A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полиспецифический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АГР (кроличий анти-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IgG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, моноклональный анти-С3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2EE2D12D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клеточная линия 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139-9) в гелевом матриксе.</w:t>
            </w:r>
          </w:p>
          <w:p w14:paraId="4E7F7527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Консервант: </w:t>
            </w:r>
            <w:proofErr w:type="gram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&lt; 0</w:t>
            </w:r>
            <w:proofErr w:type="gram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,1%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NaN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  <w:r w:rsidRPr="00D91504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1 карта – 2 исследования. В 1 наборе 720 карт.</w:t>
            </w:r>
          </w:p>
          <w:p w14:paraId="0ABE2FCA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242021"/>
              </w:rPr>
              <w:t>ID-Card ˝ID LISS/</w:t>
            </w:r>
            <w:proofErr w:type="spellStart"/>
            <w:r w:rsidRPr="00D91504">
              <w:rPr>
                <w:rFonts w:ascii="Times New Roman" w:hAnsi="Times New Roman" w:cs="Times New Roman"/>
                <w:color w:val="242021"/>
              </w:rPr>
              <w:t>Coombs</w:t>
            </w:r>
            <w:proofErr w:type="spellEnd"/>
            <w:r w:rsidRPr="00D91504">
              <w:rPr>
                <w:rFonts w:ascii="Times New Roman" w:hAnsi="Times New Roman" w:cs="Times New Roman"/>
                <w:color w:val="242021"/>
              </w:rPr>
              <w:t>˝ может быть использована для ПАГТ,</w:t>
            </w:r>
            <w:r w:rsidRPr="00D91504">
              <w:rPr>
                <w:rFonts w:ascii="Times New Roman" w:hAnsi="Times New Roman" w:cs="Times New Roman"/>
                <w:color w:val="242021"/>
              </w:rPr>
              <w:br/>
              <w:t>для проведения теста на совместимость, скрининга антител и</w:t>
            </w:r>
            <w:r w:rsidRPr="00D91504">
              <w:rPr>
                <w:rFonts w:ascii="Times New Roman" w:hAnsi="Times New Roman" w:cs="Times New Roman"/>
                <w:color w:val="242021"/>
              </w:rPr>
              <w:br/>
              <w:t>идентификации с ˝ID-</w:t>
            </w:r>
            <w:proofErr w:type="spellStart"/>
            <w:r w:rsidRPr="00D91504">
              <w:rPr>
                <w:rFonts w:ascii="Times New Roman" w:hAnsi="Times New Roman" w:cs="Times New Roman"/>
                <w:color w:val="242021"/>
              </w:rPr>
              <w:t>DiaCell</w:t>
            </w:r>
            <w:proofErr w:type="spellEnd"/>
            <w:r w:rsidRPr="00D91504">
              <w:rPr>
                <w:rFonts w:ascii="Times New Roman" w:hAnsi="Times New Roman" w:cs="Times New Roman"/>
                <w:color w:val="242021"/>
              </w:rPr>
              <w:t>˝ и ˝ID-</w:t>
            </w:r>
            <w:proofErr w:type="spellStart"/>
            <w:r w:rsidRPr="00D91504">
              <w:rPr>
                <w:rFonts w:ascii="Times New Roman" w:hAnsi="Times New Roman" w:cs="Times New Roman"/>
                <w:color w:val="242021"/>
              </w:rPr>
              <w:t>DiaPanel</w:t>
            </w:r>
            <w:proofErr w:type="spellEnd"/>
            <w:r w:rsidRPr="00D91504">
              <w:rPr>
                <w:rFonts w:ascii="Times New Roman" w:hAnsi="Times New Roman" w:cs="Times New Roman"/>
                <w:color w:val="242021"/>
              </w:rPr>
              <w:t>˝.</w:t>
            </w:r>
          </w:p>
        </w:tc>
        <w:tc>
          <w:tcPr>
            <w:tcW w:w="1832" w:type="dxa"/>
          </w:tcPr>
          <w:p w14:paraId="3D3C0AF6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t>уп</w:t>
            </w:r>
            <w:proofErr w:type="spellEnd"/>
            <w:r w:rsidRPr="00D91504">
              <w:rPr>
                <w:rFonts w:ascii="Times New Roman" w:hAnsi="Times New Roman" w:cs="Times New Roman"/>
              </w:rPr>
              <w:t xml:space="preserve">/720 </w:t>
            </w:r>
            <w:proofErr w:type="spellStart"/>
            <w:r w:rsidRPr="00D91504">
              <w:rPr>
                <w:rFonts w:ascii="Times New Roman" w:hAnsi="Times New Roman" w:cs="Times New Roman"/>
              </w:rPr>
              <w:t>шт</w:t>
            </w:r>
            <w:proofErr w:type="spellEnd"/>
            <w:r w:rsidRPr="00D91504">
              <w:rPr>
                <w:rFonts w:ascii="Times New Roman" w:hAnsi="Times New Roman" w:cs="Times New Roman"/>
              </w:rPr>
              <w:t>, 60х12</w:t>
            </w:r>
          </w:p>
        </w:tc>
        <w:tc>
          <w:tcPr>
            <w:tcW w:w="747" w:type="dxa"/>
          </w:tcPr>
          <w:p w14:paraId="437D4A25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7" w:type="dxa"/>
          </w:tcPr>
          <w:p w14:paraId="759D31D1" w14:textId="0C2B4820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1 178 100,00</w:t>
            </w:r>
          </w:p>
        </w:tc>
        <w:tc>
          <w:tcPr>
            <w:tcW w:w="1320" w:type="dxa"/>
          </w:tcPr>
          <w:p w14:paraId="1FC9ECC2" w14:textId="443578EF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2 356 200,00</w:t>
            </w:r>
          </w:p>
        </w:tc>
      </w:tr>
      <w:tr w:rsidR="00D91504" w:rsidRPr="00D91504" w14:paraId="3BAA505C" w14:textId="208C7EF5" w:rsidTr="00D91504">
        <w:trPr>
          <w:jc w:val="center"/>
        </w:trPr>
        <w:tc>
          <w:tcPr>
            <w:tcW w:w="427" w:type="dxa"/>
          </w:tcPr>
          <w:p w14:paraId="605D9476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6" w:type="dxa"/>
          </w:tcPr>
          <w:p w14:paraId="011568E2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 xml:space="preserve">Карты для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фенотипирования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по системе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Rh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\K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diaclon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Rh-Subgroups+K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 кат №002125</w:t>
            </w:r>
          </w:p>
        </w:tc>
        <w:tc>
          <w:tcPr>
            <w:tcW w:w="7769" w:type="dxa"/>
            <w:vAlign w:val="center"/>
          </w:tcPr>
          <w:p w14:paraId="2D655CCD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D-Card ˝ID </w:t>
            </w:r>
            <w:proofErr w:type="spellStart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DiaClon</w:t>
            </w:r>
            <w:proofErr w:type="spellEnd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Rh-subgroups</w:t>
            </w:r>
            <w:proofErr w:type="spellEnd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+ K˝ содержит моноклональные антитела анти-С (клеточная линия MS-24), анти-с (клеточная линия MS-33),</w:t>
            </w:r>
            <w:r w:rsidRPr="00D91504">
              <w:rPr>
                <w:rFonts w:ascii="Times New Roman" w:hAnsi="Times New Roman" w:cs="Times New Roman"/>
                <w:color w:val="242021"/>
              </w:rPr>
              <w:br/>
            </w:r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анти-E (клеточная линия MS-260), анти-е (клеточная линия MS-16, МС-21, МС-63) и анти- К (клеточная линия MS-56) в гелевом матриксе.</w:t>
            </w:r>
            <w:r w:rsidRPr="00D91504">
              <w:rPr>
                <w:rFonts w:ascii="Times New Roman" w:hAnsi="Times New Roman" w:cs="Times New Roman"/>
                <w:color w:val="242021"/>
              </w:rPr>
              <w:br/>
            </w:r>
            <w:proofErr w:type="spellStart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Микропробирка</w:t>
            </w:r>
            <w:proofErr w:type="spellEnd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Ctl</w:t>
            </w:r>
            <w:proofErr w:type="spellEnd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) является отрицательным контролем.</w:t>
            </w:r>
            <w:r w:rsidRPr="00D91504">
              <w:rPr>
                <w:rFonts w:ascii="Times New Roman" w:hAnsi="Times New Roman" w:cs="Times New Roman"/>
                <w:color w:val="242021"/>
              </w:rPr>
              <w:br/>
            </w:r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Консервант: &lt; 0,1% NaN3</w:t>
            </w:r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 </w:t>
            </w:r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ID-Card ˝ID </w:t>
            </w:r>
            <w:proofErr w:type="spellStart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DiaClon</w:t>
            </w:r>
            <w:proofErr w:type="spellEnd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Rh-subgroups</w:t>
            </w:r>
            <w:proofErr w:type="spellEnd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+ K˝ позволяет проводить определение полного профиля </w:t>
            </w:r>
            <w:proofErr w:type="spellStart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Rh</w:t>
            </w:r>
            <w:proofErr w:type="spellEnd"/>
            <w:r w:rsidRPr="00D9150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фенотипа и включает в себя типирование K антигена.</w:t>
            </w:r>
            <w:r w:rsidRPr="00D91504">
              <w:rPr>
                <w:rFonts w:ascii="Times New Roman" w:hAnsi="Times New Roman" w:cs="Times New Roman"/>
              </w:rPr>
              <w:t xml:space="preserve"> 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1 карта – 1 исследование.</w:t>
            </w:r>
          </w:p>
        </w:tc>
        <w:tc>
          <w:tcPr>
            <w:tcW w:w="1832" w:type="dxa"/>
          </w:tcPr>
          <w:p w14:paraId="24A5EEE1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t>уп</w:t>
            </w:r>
            <w:proofErr w:type="spellEnd"/>
            <w:r w:rsidRPr="00D91504">
              <w:rPr>
                <w:rFonts w:ascii="Times New Roman" w:hAnsi="Times New Roman" w:cs="Times New Roman"/>
              </w:rPr>
              <w:t xml:space="preserve">/1344 </w:t>
            </w:r>
            <w:proofErr w:type="spellStart"/>
            <w:r w:rsidRPr="00D91504">
              <w:rPr>
                <w:rFonts w:ascii="Times New Roman" w:hAnsi="Times New Roman" w:cs="Times New Roman"/>
              </w:rPr>
              <w:t>шт</w:t>
            </w:r>
            <w:proofErr w:type="spellEnd"/>
            <w:r w:rsidRPr="00D91504">
              <w:rPr>
                <w:rFonts w:ascii="Times New Roman" w:hAnsi="Times New Roman" w:cs="Times New Roman"/>
              </w:rPr>
              <w:t>, 112х12</w:t>
            </w:r>
          </w:p>
        </w:tc>
        <w:tc>
          <w:tcPr>
            <w:tcW w:w="747" w:type="dxa"/>
          </w:tcPr>
          <w:p w14:paraId="0CC9FAE1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7" w:type="dxa"/>
          </w:tcPr>
          <w:p w14:paraId="7FD0EAAF" w14:textId="46B9ED60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2 693 000,00</w:t>
            </w:r>
          </w:p>
        </w:tc>
        <w:tc>
          <w:tcPr>
            <w:tcW w:w="1320" w:type="dxa"/>
          </w:tcPr>
          <w:p w14:paraId="48EF447C" w14:textId="1DF49EA3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5 386 000,00</w:t>
            </w:r>
          </w:p>
        </w:tc>
      </w:tr>
      <w:tr w:rsidR="00D91504" w:rsidRPr="00D91504" w14:paraId="383D2051" w14:textId="1E232DD4" w:rsidTr="00D91504">
        <w:trPr>
          <w:jc w:val="center"/>
        </w:trPr>
        <w:tc>
          <w:tcPr>
            <w:tcW w:w="427" w:type="dxa"/>
          </w:tcPr>
          <w:p w14:paraId="0FD9A79D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6" w:type="dxa"/>
          </w:tcPr>
          <w:p w14:paraId="2BFFE716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 xml:space="preserve">Стандартные панели 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эрироцитов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для  определения групп крови обратным методом ID-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DiaCell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ABO\A1-B             кат №003624</w:t>
            </w:r>
          </w:p>
        </w:tc>
        <w:tc>
          <w:tcPr>
            <w:tcW w:w="7769" w:type="dxa"/>
            <w:vAlign w:val="center"/>
          </w:tcPr>
          <w:p w14:paraId="1351018D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Все клеточные реагенты имеют человеческое происхождение, суспензия 0,8% (± 0,1%) находится в буферизированной среде.</w:t>
            </w:r>
          </w:p>
          <w:p w14:paraId="25B5276F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Консерванты: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антибактериалные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средства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триметоприм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и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сульфаметоксазол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. Стандартные эритроциты </w:t>
            </w:r>
            <w:proofErr w:type="gram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для определение</w:t>
            </w:r>
            <w:proofErr w:type="gram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группы крови и резус фактора.</w:t>
            </w:r>
            <w:r w:rsidRPr="00D91504">
              <w:rPr>
                <w:rFonts w:ascii="Times New Roman" w:hAnsi="Times New Roman" w:cs="Times New Roman"/>
                <w:color w:val="000000"/>
                <w:lang w:val="kk-KZ"/>
              </w:rPr>
              <w:t xml:space="preserve"> 1 уп содержит 2 флакона по 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10 мл</w:t>
            </w:r>
          </w:p>
        </w:tc>
        <w:tc>
          <w:tcPr>
            <w:tcW w:w="1832" w:type="dxa"/>
          </w:tcPr>
          <w:p w14:paraId="31B6A36B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t>уп</w:t>
            </w:r>
            <w:proofErr w:type="spellEnd"/>
            <w:r w:rsidRPr="00D91504">
              <w:rPr>
                <w:rFonts w:ascii="Times New Roman" w:hAnsi="Times New Roman" w:cs="Times New Roman"/>
              </w:rPr>
              <w:t>/2х10 мл</w:t>
            </w:r>
          </w:p>
        </w:tc>
        <w:tc>
          <w:tcPr>
            <w:tcW w:w="747" w:type="dxa"/>
          </w:tcPr>
          <w:p w14:paraId="46A80E65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7" w:type="dxa"/>
          </w:tcPr>
          <w:p w14:paraId="78DAF0C3" w14:textId="7D5020FB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320" w:type="dxa"/>
          </w:tcPr>
          <w:p w14:paraId="46A1DD41" w14:textId="6CDCBF1F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270 000,00</w:t>
            </w:r>
          </w:p>
        </w:tc>
      </w:tr>
      <w:tr w:rsidR="00D91504" w:rsidRPr="00D91504" w14:paraId="4EEEF47D" w14:textId="4AB1EC24" w:rsidTr="00D91504">
        <w:trPr>
          <w:jc w:val="center"/>
        </w:trPr>
        <w:tc>
          <w:tcPr>
            <w:tcW w:w="427" w:type="dxa"/>
          </w:tcPr>
          <w:p w14:paraId="1C0DA549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14:paraId="528A9D89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 xml:space="preserve">Стандартные панели эритроцитов для </w:t>
            </w:r>
            <w:r w:rsidRPr="00D91504">
              <w:rPr>
                <w:rFonts w:ascii="Times New Roman" w:hAnsi="Times New Roman" w:cs="Times New Roman"/>
                <w:color w:val="000000"/>
              </w:rPr>
              <w:lastRenderedPageBreak/>
              <w:t>скрининга антител ID-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DiaCell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I-II-III кат №004310</w:t>
            </w:r>
          </w:p>
        </w:tc>
        <w:tc>
          <w:tcPr>
            <w:tcW w:w="7769" w:type="dxa"/>
            <w:vAlign w:val="center"/>
          </w:tcPr>
          <w:p w14:paraId="2ACA7D91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Все клеточные реагенты имеют человеческое происхождение, суспензия 0,8% (± 0,1%) находится в буферизированной среде.</w:t>
            </w:r>
          </w:p>
          <w:p w14:paraId="353FF3A0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Консерванты: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антибактериалные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средства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триметоприм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и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сульфаметоксазол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 w:rsidRPr="00D91504">
              <w:rPr>
                <w:rFonts w:ascii="Times New Roman" w:hAnsi="Times New Roman" w:cs="Times New Roman"/>
                <w:color w:val="000000"/>
                <w:lang w:val="kk-KZ"/>
              </w:rPr>
              <w:t xml:space="preserve">1 уп содержит 3 флакона по 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10 мл. Стандартные эритроциты для скрининга антител</w:t>
            </w:r>
          </w:p>
        </w:tc>
        <w:tc>
          <w:tcPr>
            <w:tcW w:w="1832" w:type="dxa"/>
          </w:tcPr>
          <w:p w14:paraId="717213B1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  <w:r w:rsidRPr="00D91504">
              <w:rPr>
                <w:rFonts w:ascii="Times New Roman" w:hAnsi="Times New Roman" w:cs="Times New Roman"/>
              </w:rPr>
              <w:t>/3х10 мл</w:t>
            </w:r>
          </w:p>
        </w:tc>
        <w:tc>
          <w:tcPr>
            <w:tcW w:w="747" w:type="dxa"/>
          </w:tcPr>
          <w:p w14:paraId="406A73F2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7" w:type="dxa"/>
          </w:tcPr>
          <w:p w14:paraId="55E03215" w14:textId="7FD3CC26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36 900,00</w:t>
            </w:r>
          </w:p>
        </w:tc>
        <w:tc>
          <w:tcPr>
            <w:tcW w:w="1320" w:type="dxa"/>
          </w:tcPr>
          <w:p w14:paraId="26BCFFA4" w14:textId="236D9408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553 500,00</w:t>
            </w:r>
          </w:p>
        </w:tc>
      </w:tr>
      <w:tr w:rsidR="00D91504" w:rsidRPr="00D91504" w14:paraId="0598FB5A" w14:textId="3BA7F2E5" w:rsidTr="00D91504">
        <w:trPr>
          <w:jc w:val="center"/>
        </w:trPr>
        <w:tc>
          <w:tcPr>
            <w:tcW w:w="427" w:type="dxa"/>
          </w:tcPr>
          <w:p w14:paraId="402636A1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6" w:type="dxa"/>
          </w:tcPr>
          <w:p w14:paraId="150A8274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 xml:space="preserve"> ID-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дилюент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2 кат.№009290</w:t>
            </w:r>
          </w:p>
        </w:tc>
        <w:tc>
          <w:tcPr>
            <w:tcW w:w="7769" w:type="dxa"/>
            <w:vAlign w:val="center"/>
          </w:tcPr>
          <w:p w14:paraId="4F3B45F3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˝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ID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Diluent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2˝: модифицированный 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LISS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для суспензии эритроцитов в 500 мл флаконах, для анализаторов </w:t>
            </w:r>
            <w:r w:rsidRPr="00D91504">
              <w:rPr>
                <w:rFonts w:ascii="Times New Roman" w:hAnsi="Times New Roman" w:cs="Times New Roman"/>
                <w:color w:val="000000"/>
                <w:lang w:val="en-US"/>
              </w:rPr>
              <w:t>IH</w:t>
            </w: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2FF762C1" w14:textId="77777777" w:rsidR="00D91504" w:rsidRPr="00D91504" w:rsidRDefault="00D91504" w:rsidP="00D91504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Консерванты: антибактериальные препараты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триметоприм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 xml:space="preserve"> и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сульфометоксазол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40945A09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</w:tcPr>
          <w:p w14:paraId="164ECF88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t>уп</w:t>
            </w:r>
            <w:proofErr w:type="spellEnd"/>
            <w:r w:rsidRPr="00D91504">
              <w:rPr>
                <w:rFonts w:ascii="Times New Roman" w:hAnsi="Times New Roman" w:cs="Times New Roman"/>
              </w:rPr>
              <w:t>/10х60х700мкл</w:t>
            </w:r>
          </w:p>
        </w:tc>
        <w:tc>
          <w:tcPr>
            <w:tcW w:w="747" w:type="dxa"/>
          </w:tcPr>
          <w:p w14:paraId="687C5A16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7" w:type="dxa"/>
          </w:tcPr>
          <w:p w14:paraId="123ACC6F" w14:textId="24CCA9ED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38 000,00</w:t>
            </w:r>
          </w:p>
        </w:tc>
        <w:tc>
          <w:tcPr>
            <w:tcW w:w="1320" w:type="dxa"/>
          </w:tcPr>
          <w:p w14:paraId="351E1D80" w14:textId="3DA48742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304 000,00</w:t>
            </w:r>
          </w:p>
        </w:tc>
      </w:tr>
      <w:tr w:rsidR="00D91504" w:rsidRPr="00D91504" w14:paraId="05BEC90B" w14:textId="5F5E76F6" w:rsidTr="00D91504">
        <w:trPr>
          <w:jc w:val="center"/>
        </w:trPr>
        <w:tc>
          <w:tcPr>
            <w:tcW w:w="427" w:type="dxa"/>
          </w:tcPr>
          <w:p w14:paraId="58EF5AC0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36" w:type="dxa"/>
          </w:tcPr>
          <w:p w14:paraId="71795449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 xml:space="preserve">Промывочный раствор,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Microcide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SQ  кат.№90071</w:t>
            </w:r>
          </w:p>
        </w:tc>
        <w:tc>
          <w:tcPr>
            <w:tcW w:w="7769" w:type="dxa"/>
          </w:tcPr>
          <w:p w14:paraId="56A35ADF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 xml:space="preserve">Промывочный раствор, </w:t>
            </w:r>
            <w:proofErr w:type="spellStart"/>
            <w:r w:rsidRPr="00D91504">
              <w:rPr>
                <w:rFonts w:ascii="Times New Roman" w:hAnsi="Times New Roman" w:cs="Times New Roman"/>
                <w:color w:val="000000"/>
              </w:rPr>
              <w:t>Microcide</w:t>
            </w:r>
            <w:proofErr w:type="spellEnd"/>
            <w:r w:rsidRPr="00D91504">
              <w:rPr>
                <w:rFonts w:ascii="Times New Roman" w:hAnsi="Times New Roman" w:cs="Times New Roman"/>
                <w:color w:val="000000"/>
              </w:rPr>
              <w:t xml:space="preserve"> SQ  кат.№90071</w:t>
            </w:r>
          </w:p>
        </w:tc>
        <w:tc>
          <w:tcPr>
            <w:tcW w:w="1832" w:type="dxa"/>
          </w:tcPr>
          <w:p w14:paraId="53E1FBA5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t>фл</w:t>
            </w:r>
            <w:proofErr w:type="spellEnd"/>
            <w:r w:rsidRPr="00D91504">
              <w:rPr>
                <w:rFonts w:ascii="Times New Roman" w:hAnsi="Times New Roman" w:cs="Times New Roman"/>
              </w:rPr>
              <w:t>/1х237</w:t>
            </w:r>
          </w:p>
        </w:tc>
        <w:tc>
          <w:tcPr>
            <w:tcW w:w="747" w:type="dxa"/>
          </w:tcPr>
          <w:p w14:paraId="1F7FD298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7" w:type="dxa"/>
          </w:tcPr>
          <w:p w14:paraId="3B0CA498" w14:textId="6744E364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320" w:type="dxa"/>
          </w:tcPr>
          <w:p w14:paraId="4606B5CD" w14:textId="67FC8A1D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97 200,00</w:t>
            </w:r>
          </w:p>
        </w:tc>
      </w:tr>
      <w:tr w:rsidR="00D91504" w:rsidRPr="00D91504" w14:paraId="64E36305" w14:textId="0A794BAC" w:rsidTr="00D91504">
        <w:trPr>
          <w:jc w:val="center"/>
        </w:trPr>
        <w:tc>
          <w:tcPr>
            <w:tcW w:w="427" w:type="dxa"/>
          </w:tcPr>
          <w:p w14:paraId="03336AD7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6" w:type="dxa"/>
          </w:tcPr>
          <w:p w14:paraId="6696644A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Промывочный раствор, DECON-90  кат.№91766</w:t>
            </w:r>
          </w:p>
        </w:tc>
        <w:tc>
          <w:tcPr>
            <w:tcW w:w="7769" w:type="dxa"/>
          </w:tcPr>
          <w:p w14:paraId="32924ED7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Промывочный раствор, DECON-90  кат.№91766</w:t>
            </w:r>
          </w:p>
        </w:tc>
        <w:tc>
          <w:tcPr>
            <w:tcW w:w="1832" w:type="dxa"/>
          </w:tcPr>
          <w:p w14:paraId="31E7646D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proofErr w:type="spellStart"/>
            <w:r w:rsidRPr="00D91504">
              <w:rPr>
                <w:rFonts w:ascii="Times New Roman" w:hAnsi="Times New Roman" w:cs="Times New Roman"/>
              </w:rPr>
              <w:t>фл</w:t>
            </w:r>
            <w:proofErr w:type="spellEnd"/>
            <w:r w:rsidRPr="00D91504">
              <w:rPr>
                <w:rFonts w:ascii="Times New Roman" w:hAnsi="Times New Roman" w:cs="Times New Roman"/>
              </w:rPr>
              <w:t xml:space="preserve"> 5 л</w:t>
            </w:r>
          </w:p>
        </w:tc>
        <w:tc>
          <w:tcPr>
            <w:tcW w:w="747" w:type="dxa"/>
          </w:tcPr>
          <w:p w14:paraId="150466AB" w14:textId="77777777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14:paraId="4FD8C742" w14:textId="0CB6E41E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320" w:type="dxa"/>
          </w:tcPr>
          <w:p w14:paraId="6A58C2EC" w14:textId="1BCA6184" w:rsidR="00D91504" w:rsidRPr="00D91504" w:rsidRDefault="00D91504" w:rsidP="00D91504">
            <w:pPr>
              <w:rPr>
                <w:rFonts w:ascii="Times New Roman" w:hAnsi="Times New Roman" w:cs="Times New Roman"/>
              </w:rPr>
            </w:pPr>
            <w:r w:rsidRPr="00D91504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</w:tr>
    </w:tbl>
    <w:p w14:paraId="242843C3" w14:textId="77777777" w:rsidR="00D91504" w:rsidRDefault="00D91504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Neue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CFD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0B7E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504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D91504"/>
    <w:rPr>
      <w:rFonts w:ascii="HelveticaNeue" w:hAnsi="HelveticaNeue" w:hint="default"/>
      <w:b w:val="0"/>
      <w:bCs w:val="0"/>
      <w:i w:val="0"/>
      <w:iCs w:val="0"/>
      <w:color w:val="242021"/>
      <w:sz w:val="12"/>
      <w:szCs w:val="12"/>
    </w:rPr>
  </w:style>
  <w:style w:type="table" w:styleId="a8">
    <w:name w:val="Table Grid"/>
    <w:basedOn w:val="a1"/>
    <w:uiPriority w:val="39"/>
    <w:rsid w:val="00D91504"/>
    <w:pPr>
      <w:spacing w:after="0" w:line="240" w:lineRule="auto"/>
    </w:pPr>
    <w:rPr>
      <w:kern w:val="2"/>
      <w:lang w:val="ru-KZ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3</cp:revision>
  <dcterms:created xsi:type="dcterms:W3CDTF">2023-01-20T03:51:00Z</dcterms:created>
  <dcterms:modified xsi:type="dcterms:W3CDTF">2023-04-13T06:59:00Z</dcterms:modified>
</cp:coreProperties>
</file>